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f6e075cedfa64054"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32875</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OPĆINA SOPJE</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22</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III 2026.</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315.131,06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317.514,99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218.144,87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299.205,73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137,2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96.986,19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18.309,26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18,9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5.008,42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2.265,25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109.394,40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4.704,89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104.385,98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2.439,64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190.889,33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261.931,95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PRIMITAKA OD FINANCIJSKE IMOVINE I ZADUŽIVANJA (šifre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71.042,62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7.399,79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55.173,00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745,6</w:t>
            </w:r>
          </w:p>
        </w:tc>
      </w:tr>
    </w:tbl>
    <w:p>
      <w:pPr>
        <w:spacing w:before="0" w:after="0"/>
      </w:pPr>
    </w:p>
    <w:p>
      <w:r>
        <w:t xml:space="preserve">Na temelju odredbi Pravilnika o financijskom izvještavanju u proračunskom računovodstvu, sastavljen je Izvještaj o prihodima i rashodima, primicima i izdacima (PR-RAS) za razdoblje od 01. siječnja do 31. ožujka 2026. godine.</w:t>
      </w:r>
    </w:p>
    <w:p>
      <w:r>
        <w:t xml:space="preserve">U obrascu PR-RAS za izvještajno razdoblje iskazani su ukupni prihodi poslovanja (šifra 6) u iznosu od 317.514,99 EUR, ukupni rashodi poslovanja (šifra 3) u iznosu od 299.205,73 EUR, te je ostvaren višak prihoda poslovanja (šifra X001) u iznosu od 18.309,26 EUR.</w:t>
      </w:r>
    </w:p>
    <w:p>
      <w:r>
        <w:t xml:space="preserve">Ostvareni višak prihoda poslovanja rezultat je stabilnog ostvarivanja tekućih prihoda te usklađene dinamike izvršenja rashoda u izvještajnom razdoblju.</w:t>
      </w:r>
    </w:p>
    <w:p>
      <w:r>
        <w:br/>
      </w:r>
      <w:r>
        <w:t xml:space="preserve">Prihodi poslovanja najvećim dijelom odnose se na porezne prihode, pomoći iz proračuna te prihode po posebnim propisima, dok rashode poslovanja čine rashodi za zaposlene, materijalni rashodi i financijski rashodi, što je uobičajena struktura kod jedinica lokalne samouprave.</w:t>
      </w:r>
    </w:p>
    <w:p>
      <w:r>
        <w:t xml:space="preserve">Prihodi i rashodi od nefinancijske imovine</w:t>
      </w:r>
      <w:r>
        <w:br/>
      </w:r>
      <w:r>
        <w:t xml:space="preserve">U razdoblju su ostvareni:</w:t>
      </w:r>
    </w:p>
    <w:p>
      <w:r>
        <w:t xml:space="preserve">prihodi od prodaje nefinancijske imovine (šifra 7) u iznosu od 2.265,25 EUR</w:t>
      </w:r>
      <w:r>
        <w:br/>
      </w:r>
      <w:r>
        <w:t xml:space="preserve">rashodi za nabavu nefinancijske imovine (šifra 4) u iznosu od 4.704,89 EUR</w:t>
      </w:r>
      <w:r>
        <w:br/>
      </w:r>
      <w:r>
        <w:t xml:space="preserve">Ostvaren je:</w:t>
      </w:r>
    </w:p>
    <w:p>
      <w:r>
        <w:t xml:space="preserve">manjak prihoda od nefinancijske imovine (šifra Y002) u iznosu od 2.439,64 EUR</w:t>
      </w:r>
      <w:r>
        <w:br/>
      </w:r>
      <w:r>
        <w:t xml:space="preserve">Manjak je rezultat većih ulaganja u dugotrajnu imovinu (npr.  oprema i sl.) u odnosu na prihode od prodaje imovine.</w:t>
      </w:r>
    </w:p>
    <w:p>
      <w:r>
        <w:t xml:space="preserve">Primici i izdaci od financijske imovine i zaduživanja</w:t>
      </w:r>
      <w:r>
        <w:br/>
      </w:r>
      <w:r>
        <w:t xml:space="preserve">U izvještajnom razdoblju ostvareni su:</w:t>
      </w:r>
    </w:p>
    <w:p>
      <w:r>
        <w:t xml:space="preserve">primici od financijske imovine i zaduživanja (šifra 8) u iznosu od 190.889,33 EUR</w:t>
      </w:r>
      <w:r>
        <w:br/>
      </w:r>
      <w:r>
        <w:t xml:space="preserve">izdaci za financijsku imovinu i otplate zajmova (šifra 5) u iznosu od 261.931,95 EUR</w:t>
      </w:r>
      <w:r>
        <w:br/>
      </w:r>
      <w:r>
        <w:t xml:space="preserve">Ostvaren je:</w:t>
      </w:r>
    </w:p>
    <w:p>
      <w:r>
        <w:t xml:space="preserve">manjak (šifra Y003) u iznosu od 71.042,62 EUR</w:t>
      </w:r>
      <w:r>
        <w:br/>
      </w:r>
      <w:r>
        <w:t xml:space="preserve">Manjak proizlazi iz većih izdataka za otplatu kredita/zajmova te eventualna ulaganja u financijsku imovinu.</w:t>
      </w:r>
    </w:p>
    <w:p>
      <w:r>
        <w:t xml:space="preserve">Unatoč ostvarenju viška prihoda poslovanja, ukupni rezultat je negativan zbog:</w:t>
      </w:r>
    </w:p>
    <w:p>
      <w:r>
        <w:t xml:space="preserve">povećanih kapitalnih ulaganja (nefinancijska imovina)</w:t>
      </w:r>
      <w:r>
        <w:br/>
      </w:r>
      <w:r>
        <w:t xml:space="preserve">značajnih izdataka za otplatu obveza po kreditima i zajmovima</w:t>
      </w:r>
      <w:r>
        <w:br/>
      </w:r>
      <w:r>
        <w:t xml:space="preserve">Navedeno je u skladu s planiranim aktivnostima JLS i dinamikom izvršenja proračuna u prvom tromjesečju. Financijsko poslovanje JLS u promatranom razdoblju obilježeno je stabilnim tekućim poslovanjem (višak poslovanja), dok ukupni manjak proizlazi iz investicijskih aktivnosti i financijskih obveza, što je uobičajeno za početak proračunske godine.</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dohodak od nesamostalnog rada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82.676,06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103.419,92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125,1</w:t>
            </w:r>
          </w:p>
        </w:tc>
      </w:tr>
    </w:tbl>
    <w:p>
      <w:pPr>
        <w:spacing w:before="0" w:after="0"/>
      </w:pPr>
    </w:p>
    <w:p>
      <w:r>
        <w:t xml:space="preserve">Povećanje prihoda od poreza na dohodak od nesamostalnog rada posljedica je pozitivnih kretanja na tržištu rada i rasta plaća</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promet</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351,82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765,09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217,5</w:t>
            </w:r>
          </w:p>
        </w:tc>
      </w:tr>
    </w:tbl>
    <w:p>
      <w:pPr>
        <w:spacing w:before="0" w:after="0"/>
      </w:pPr>
    </w:p>
    <w:p>
      <w:r>
        <w:t xml:space="preserve">U izvještajnom razdoblju od 01.01. do 31.03.2026. godine evidentirano je povećanje prihoda od poreza na potrošnju.</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od institucija i tijela EU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26.749,20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nisu evidentirani prihodi na kontu tekućih pomoći od institucija i tijela Europske unije. Neiskazivanje prihoda na ovom kontu posljedica je pravilnog knjiženja na pripadajuće kontne kategorije, sukladno ekonomskoj klasifikaciji i pravilima evidentiranja EU sredstava.</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32.843,25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20.997,00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63,9</w:t>
            </w:r>
          </w:p>
        </w:tc>
      </w:tr>
    </w:tbl>
    <w:p>
      <w:pPr>
        <w:spacing w:before="0" w:after="0"/>
      </w:pPr>
    </w:p>
    <w:p>
      <w:r>
        <w:t xml:space="preserve">Evidentirane tekuće pomoći odnose se na namjenska sredstva iz državnog i drugih javnih izvora, koja su korištena za financiranje predškolskog odgoja (fiskalna održivost vrtića) te provedbu projekata od lokalnog i regionalnog značaja (Putevima Drave), sukladno ugovorenoj i propisanoj namjeni.</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fiskalnog izravnanja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114.386,43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123.552,18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108,0</w:t>
            </w:r>
          </w:p>
        </w:tc>
      </w:tr>
    </w:tbl>
    <w:p>
      <w:pPr>
        <w:spacing w:before="0" w:after="0"/>
      </w:pPr>
    </w:p>
    <w:p>
      <w:r>
        <w:t xml:space="preserve">Ostvarenje većeg iznosa pomoći fiskalnog izravnanja u izvještajnom razdoblju nije posljedica jednokratnih ili izvanrednih prihoda, već redovite korekcije i konačnog obračuna sredstava iz državnog proračuna, sukladno Zakonu o financiranju jedinica lokalne i područne (regionalne) samouprave.</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32.412,87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Evidentirane tekuće pomoći predstavljaju refundaciju sredstava EU za provedbu projekta „Zaželi“ te su iskazane u skladu s ugovorenom dinamikom provedbe i pravilima proračunskog računovodstva.</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zakupa i iznajmljivanja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39.158,28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15.741,81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40,2</w:t>
            </w:r>
          </w:p>
        </w:tc>
      </w:tr>
    </w:tbl>
    <w:p>
      <w:pPr>
        <w:spacing w:before="0" w:after="0"/>
      </w:pPr>
    </w:p>
    <w:p>
      <w:r>
        <w:t xml:space="preserve">U izvještajnom razdoblju evidentirano je smanjenje prihoda od zakupa i iznajmljivanja imovine u odnosu na prethodno razdoblje.</w:t>
      </w:r>
    </w:p>
    <w:p>
      <w:r>
        <w:t xml:space="preserve">Smanjenje se odnosi na sljedeće vrste prihoda:</w:t>
      </w:r>
    </w:p>
    <w:p>
      <w:r>
        <w:t xml:space="preserve">najam mrtvačnica</w:t>
      </w:r>
      <w:r>
        <w:br/>
      </w:r>
      <w:r>
        <w:t xml:space="preserve">najam društvenih domova</w:t>
      </w:r>
      <w:r>
        <w:br/>
      </w:r>
      <w:r>
        <w:t xml:space="preserve">korištenje javnih površina</w:t>
      </w:r>
      <w:r>
        <w:br/>
      </w:r>
      <w:r>
        <w:t xml:space="preserve">zakup poljoprivrednog zemljišta u vlasništvu Republike Hrvatske</w:t>
      </w:r>
      <w:r>
        <w:br/>
      </w:r>
      <w:r>
        <w:t xml:space="preserve">Najznačajniji dio smanjenja odnosi se na zakup poljoprivrednog zemljišta u vlasništvu Republike Hrvatske, koji je varijabilan prihod te ovisi o provedenim javnim natječajima, sklopljenim ugovorima o zakupu te dinamici naplate zakupnine.</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Naknada za korištenje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evidentirano je povećanje prihoda od naknade za korištenje nefinancijske imovine.</w:t>
      </w:r>
    </w:p>
    <w:p>
      <w:r>
        <w:t xml:space="preserve">Povećanje se odnosi na:</w:t>
      </w:r>
    </w:p>
    <w:p>
      <w:r>
        <w:t xml:space="preserve">služnost plinovoda Kalinovac, odnosno naknade za pravo služnosti na infrastrukturi energetskog sustava</w:t>
      </w:r>
      <w:r>
        <w:br/>
      </w:r>
      <w:r>
        <w:t xml:space="preserve">prenamjenu poljoprivrednog zemljišta, odnosno naknade koje se ostvaruju temeljem promjene namjene zemljišta iz poljoprivrednog u nepoljoprivredno zemljište, sukladno važećim propisima i donesenim rješenjima nadležnih tijela</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prihodi od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162,97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evidentirano je povećanje ostalih prihoda od nefinancijske imovine.</w:t>
      </w:r>
    </w:p>
    <w:p>
      <w:r>
        <w:t xml:space="preserve">Povećanje se  odnosi na prihode ostvarene po osnovi legalizacije nezakonito izgrađenih zgrada (naknade za zadržavanje nezakonito izgrađenih zgrada u prostoru), sukladno važećim propisima o postupanju s nezakonito izgrađenom gradnjom.</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683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1.138,10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794,8</w:t>
            </w:r>
          </w:p>
        </w:tc>
      </w:tr>
    </w:tbl>
    <w:p>
      <w:pPr>
        <w:spacing w:before="0" w:after="0"/>
      </w:pPr>
    </w:p>
    <w:p>
      <w:r>
        <w:t xml:space="preserve">U izvještajnom razdoblju evidentirano je povećanje ostalih prihoda.</w:t>
      </w:r>
    </w:p>
    <w:p>
      <w:r>
        <w:t xml:space="preserve">Povećanje se odnosi na povrate u općinski proračun neiskorištenih sredstava po sklopljenim ugovorima, kao i na druge jednokratne i povremene prihode, i to:</w:t>
      </w:r>
    </w:p>
    <w:p>
      <w:r>
        <w:t xml:space="preserve">povrat neiskorištenih sredstava od udruga temeljem ugovornih obveza i pravdanja dodijeljenih sredstava</w:t>
      </w:r>
      <w:r>
        <w:br/>
      </w:r>
      <w:r>
        <w:t xml:space="preserve">sredstva ostvarena po osnovi likvidacije udruge, odnosno povrat preostale financijske imovine u općinski proračun</w:t>
      </w:r>
      <w:r>
        <w:br/>
      </w:r>
      <w:r>
        <w:t xml:space="preserve">povrat sredstava po osnovi stipendija, u slučajevima raskida ugovornih obveza tj. studend odustao od općines stipendije jer je dobio državnu stipendiju</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zaposlene (šifre 311+312+313)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76.461,27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99.615,08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130,3</w:t>
            </w:r>
          </w:p>
        </w:tc>
      </w:tr>
    </w:tbl>
    <w:p>
      <w:pPr>
        <w:spacing w:before="0" w:after="0"/>
      </w:pPr>
    </w:p>
    <w:p>
      <w:r>
        <w:t xml:space="preserve">U izvještajnom razdoblju evidentirano je povećanje rashoda za zaposlene.</w:t>
      </w:r>
    </w:p>
    <w:p>
      <w:r>
        <w:t xml:space="preserve">Rashodi za zaposlene obuhvaćaju bruto plaće, doprinose na plaće te ostale rashode za zaposlene, a odnose se na zaposlenike Jedinstvenog upravnog odjela (službenike i namještenike općine) te na zaposlenike uključene u provedbu projekta „Zaželi“.</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Službena putovanja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nisu evidentirani rashodi po osnovi službenih putovanja.</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Materijal i sirovine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817,91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izvještajnom razdoblju evidentirano je povećanje rashoda na kontu materijal i sirovine.</w:t>
      </w:r>
    </w:p>
    <w:p>
      <w:r>
        <w:t xml:space="preserve">Povećanje se odnosi na rashode nastale u okviru projekta „Djeca, priroda i igra“, u sklopu kojeg je nabavljen materijal potreban za provedbu planiranih aktivnosti.</w:t>
      </w:r>
    </w:p>
    <w:p>
      <w:r>
        <w:t xml:space="preserve">Rashodi su ostvareni za:</w:t>
      </w:r>
    </w:p>
    <w:p>
      <w:r>
        <w:t xml:space="preserve">materijale za kreativne i edukativne radionice</w:t>
      </w:r>
      <w:r>
        <w:br/>
      </w:r>
      <w:r>
        <w:t xml:space="preserve">potrošni materijal za rad s djecom</w:t>
      </w:r>
      <w:r>
        <w:br/>
      </w:r>
      <w:r>
        <w:t xml:space="preserve">materijale za aktivnosti učenja kroz igru i boravak u prirodi</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Energija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4.790,36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18.630,22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388,9</w:t>
            </w:r>
          </w:p>
        </w:tc>
      </w:tr>
    </w:tbl>
    <w:p>
      <w:pPr>
        <w:spacing w:before="0" w:after="0"/>
      </w:pPr>
    </w:p>
    <w:p>
      <w:r>
        <w:t xml:space="preserve">U izvještajnom razdoblju evidentirano je povećanje rashoda za energiju.</w:t>
      </w:r>
    </w:p>
    <w:p>
      <w:r>
        <w:t xml:space="preserve">Povećanje se odnosi na troškove električne energije i/ili drugih energenata koji se koriste za redovno funkcioniranje općinskih objekata i komunalne infrastrukture.</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Službena, radna i zaštitna odjeća i obuća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377,70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kupljena je radna odjeća za namještenike</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tekućeg i investicijskog održavanja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25.333,42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8.825,24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34,8</w:t>
            </w:r>
          </w:p>
        </w:tc>
      </w:tr>
    </w:tbl>
    <w:p>
      <w:pPr>
        <w:spacing w:before="0" w:after="0"/>
      </w:pPr>
    </w:p>
    <w:p>
      <w:r>
        <w:t xml:space="preserve">U izvještajnom razdoblju evidentirano je smanjenje rashoda na kontu usluga tekućeg i investicijskog održavanja.</w:t>
      </w:r>
    </w:p>
    <w:p>
      <w:r>
        <w:t xml:space="preserve">Rashodi se odnose na održavanje komunalne i javne infrastrukture, općinskih objekata te ostale imovine u vlasništvu jedinice lokalne samouprave.</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Zdravstvene i veterinarske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6.440,00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1463,6</w:t>
            </w:r>
          </w:p>
        </w:tc>
      </w:tr>
    </w:tbl>
    <w:p>
      <w:pPr>
        <w:spacing w:before="0" w:after="0"/>
      </w:pPr>
    </w:p>
    <w:p>
      <w:r>
        <w:t xml:space="preserve">U izvještajnom razdoblju evidentirano je povećanje rashoda za veterinarske usluge.</w:t>
      </w:r>
    </w:p>
    <w:p>
      <w:r>
        <w:t xml:space="preserve">Povećanje se odnosi na provedbu ugovorenih aktivnosti veterinarsko-higijeničarskog servisa, a najveći dio rashoda vezan je uz razdoblje 01.06.2025. – 31.12.2025. godine, tijekom kojeg su izvršene usluge zbrinjavanja i kontrole životinja te ostale usluge propisane ugovorom.</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Intelektualne i osobne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7.554,54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16.618,75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220,0</w:t>
            </w:r>
          </w:p>
        </w:tc>
      </w:tr>
    </w:tbl>
    <w:p>
      <w:pPr>
        <w:spacing w:before="0" w:after="0"/>
      </w:pPr>
    </w:p>
    <w:p>
      <w:r>
        <w:t xml:space="preserve">U izvještajnom razdoblju evidentirano je povećanje rashoda na kontu intelektualnih usluga.</w:t>
      </w:r>
    </w:p>
    <w:p>
      <w:r>
        <w:t xml:space="preserve">Povećanje se odnosi na usluge stručnog i tehničkog karaktera vezane uz istražno-eksploatacijske radove na zdencu NK Standard, koje uključuju izradu i/ili stručni nadzor, analize, tehničku dokumentaciju te ostale prateće usluge potrebne za provedbu i praćenje radova.</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Kamate za primljene kredite i zajmove (šifre 3421 do 3428)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3.490,82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evidentirano je povećanje rashoda na kontu kamate za primljene kredite i zajmove.</w:t>
      </w:r>
    </w:p>
    <w:p>
      <w:r>
        <w:t xml:space="preserve">Povećanje se odnosi na troškove kamata po postojećim kreditnim i zajmovnim obvezama jedinice lokalne samouprave, sukladno ugovorenim otplatnim planovima i obračunu kamata od strane kreditnih institucija.</w:t>
      </w:r>
    </w:p>
    <w:p>
      <w:r>
        <w:t xml:space="preserve">U izvještajnom razdoblju jedinica lokalne samouprave koristi dopušteno prekoračenje po žiro računu (dopušteni minus) u svrhu održavanja redovne likvidnosti i pravovremenog podmirivanja dospjelih obveza.</w:t>
      </w:r>
    </w:p>
    <w:p>
      <w:r>
        <w:t xml:space="preserve">Dopušteno prekoračenje predstavlja kratkoročni izvor financiranja koji omogućuje korištenje sredstava iznad raspoloživog stanja na računu, pri čemu se iskorišteni iznos automatski pokriva priljevima na račun, sukladno ugovorenim uvjetima s poslovnom bankom.</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Zatezne kamate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nisu evidentirani rashodi po osnovi zateznih kamata.</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Subvencije trgovačkim društvima i zadrugama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1.078,41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nisu evidentirani rashodi po osnovi subvencija trgovačkim društvima i zadrugama izvan javnog sektora.</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3672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Prijenosi proračunskim korisnicima iz nadležnog proračuna za financiranje rashoda poslovanja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12.424,81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67.630,80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544,3</w:t>
            </w:r>
          </w:p>
        </w:tc>
      </w:tr>
    </w:tbl>
    <w:p>
      <w:pPr>
        <w:spacing w:before="0" w:after="0"/>
      </w:pPr>
    </w:p>
    <w:p>
      <w:r>
        <w:t xml:space="preserve">Evidentirano povećanje prijenosa proračunskom korisniku rezultat je uvođenja sustava lokalne riznice i promjene modela financiranja i evidentiranja poslovanja dječjeg vrtića, te ne predstavlja dodatno opterećenje proračuna, već promjenu načina izvršavanja istih rashoda.</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Prijenosi proračunskim korisnicima iz nadležnog proračuna za nabavu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251,94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evidentirano je povećanje rashoda na kontu prijenosi proračunskim korisnicima iz nadležnog proračuna za nabavu nefinancijske imovine.</w:t>
      </w:r>
    </w:p>
    <w:p>
      <w:r>
        <w:t xml:space="preserve">Rashodi se odnose na sredstva doznačena proračunskom korisniku (dječji vrtić) za financiranje nabave nefinancijske imovine, odnosno ulaganja u dugotrajnu imovinu potrebnu za obavljanje djelatnosti.</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građanima i kućanstvima u novcu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6.756,36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25.400,00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375,9</w:t>
            </w:r>
          </w:p>
        </w:tc>
      </w:tr>
    </w:tbl>
    <w:p>
      <w:pPr>
        <w:spacing w:before="0" w:after="0"/>
      </w:pPr>
    </w:p>
    <w:p>
      <w:r>
        <w:t xml:space="preserve">U izvještajnom razdoblju evidentirano je povećanje rashoda na kontu naknade građanima i kućanstvima u novcu.</w:t>
      </w:r>
    </w:p>
    <w:p>
      <w:r>
        <w:t xml:space="preserve">Povećanje se odnosi na isplatu jednokratnih novčanih potpora – uskrsnice – koje su isplaćene:</w:t>
      </w:r>
    </w:p>
    <w:p>
      <w:r>
        <w:t xml:space="preserve">umirovljenicima</w:t>
      </w:r>
      <w:r>
        <w:br/>
      </w:r>
      <w:r>
        <w:t xml:space="preserve">korisnicima zajamčene minimalne naknade (ZMN)</w:t>
      </w:r>
      <w:r>
        <w:br/>
      </w:r>
      <w:r>
        <w:t xml:space="preserve">nezaposlenim hrvatskim braniteljima</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donacije u novcu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38.880,00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12.773,93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32,9</w:t>
            </w:r>
          </w:p>
        </w:tc>
      </w:tr>
    </w:tbl>
    <w:p>
      <w:pPr>
        <w:spacing w:before="0" w:after="0"/>
      </w:pPr>
    </w:p>
    <w:p>
      <w:r>
        <w:t xml:space="preserve">U izvještajnom razdoblju evidentirano je smanjenje rashoda na kontu tekuće donacije u novcu.</w:t>
      </w:r>
    </w:p>
    <w:p>
      <w:r>
        <w:t xml:space="preserve">Smanjenje se odnosi na sredstva planirana i provedena putem javnog natječaja za financiranje programa i projekata udruga iz područja sporta i kulture. Natječaj nije još završen.</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5.008,42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2.265,25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45,2</w:t>
            </w:r>
          </w:p>
        </w:tc>
      </w:tr>
    </w:tbl>
    <w:p>
      <w:pPr>
        <w:spacing w:before="0" w:after="0"/>
      </w:pPr>
    </w:p>
    <w:p>
      <w:r>
        <w:t xml:space="preserve">U izvještajnom razdoblju ostvareni su niži prihodi od prodaje poljoprivrednog zemljišta u vlasništvu Republike Hrvatske, koji se vode kao prihod proračuna jedinice lokalne samouprave.</w:t>
      </w:r>
    </w:p>
    <w:p>
      <w:r>
        <w:t xml:space="preserve">Prihodi se odnose na prodaju poljoprivrednog zemljišta u vlasništvu RH temeljem provedenih javnih natječaja i sklopljenih ugovora, sukladno važećim propisima o raspolaganju državnim poljoprivrednim zemljištem.</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Poslovni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640,90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dolazi do povećanja zbog priključka društvenog doma Josipovo na plinsku mrežu.</w:t>
      </w:r>
    </w:p>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Uredska oprema i namještaj</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2.770,00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2.068,99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74,7</w:t>
            </w:r>
          </w:p>
        </w:tc>
      </w:tr>
    </w:tbl>
    <w:p>
      <w:pPr>
        <w:spacing w:before="0" w:after="0"/>
      </w:pPr>
    </w:p>
    <w:p>
      <w:r>
        <w:t xml:space="preserve">U izvještajnom razdoblju evidentirani su rashodi na kontu uredske opreme i namještaja.</w:t>
      </w:r>
    </w:p>
    <w:p>
      <w:r>
        <w:t xml:space="preserve">Nabavljena je sljedeća oprema:</w:t>
      </w:r>
    </w:p>
    <w:p>
      <w:r>
        <w:t xml:space="preserve">fotoaparat Nikon</w:t>
      </w:r>
      <w:r>
        <w:br/>
      </w:r>
      <w:r>
        <w:t xml:space="preserve">laptop</w:t>
      </w:r>
      <w:r>
        <w:br/>
      </w:r>
      <w:r>
        <w:t xml:space="preserve">Oprema je nabavljena za potrebe provedbe projekta „Sopje – dijete, igra i priroda“, s ciljem osiguranja tehničkih uvjeta za realizaciju projektnih aktivnosti, dokumentiranje provedbe te administrativno i operativno praćenje projekta.</w:t>
      </w:r>
    </w:p>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Medicinska i laboratorijska oprema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evidentirani su rashodi na kontu medicinske i laboratorijske opreme.</w:t>
      </w:r>
    </w:p>
    <w:p>
      <w:r>
        <w:t xml:space="preserve">Nabavljena je sljedeća oprema:</w:t>
      </w:r>
    </w:p>
    <w:p>
      <w:r>
        <w:t xml:space="preserve">mikroskop</w:t>
      </w:r>
      <w:r>
        <w:br/>
      </w:r>
      <w:r>
        <w:t xml:space="preserve">džepni mikroskop</w:t>
      </w:r>
      <w:r>
        <w:br/>
      </w:r>
      <w:r>
        <w:t xml:space="preserve">Oprema je nabavljena za potrebe provedbe projekta „Djeca, priroda i igra“, s ciljem omogućavanja istraživačkih i edukativnih aktivnosti djece te približavanja prirodnih znanosti kroz praktičan rad i promatranje uzoraka.</w:t>
      </w:r>
    </w:p>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Uređaji, strojevi i oprema za ostale namjene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evidentirani su rashodi na kontu uređaji, strojevi i oprema za ostale namjene.</w:t>
      </w:r>
    </w:p>
    <w:p>
      <w:r>
        <w:t xml:space="preserve">Nabavljene su kante za otpad zapremine 240 L (žute boje), namijenjene za potrebe razvrstavanja i odlaganja otpada u okviru komunalnih aktivnosti jedinice lokalne samouprave.</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Ulaganja u računalne programe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29.747,50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nisu evidentirani rashodi po osnovi ulaganja u računalne programe.</w:t>
      </w:r>
    </w:p>
    <w:p/>
    <w:p>
      <w:pPr>
        <w:jc w:val="center"/>
        <w:pStyle w:val="Normal"/>
        <w:spacing w:line="240" w:lineRule="auto"/>
        <w:keepNext/>
      </w:pPr>
      <w:r>
        <w:rPr>
          <w:sz w:val="28"/>
          <w:rFonts w:ascii="Times New Roman" w:hAnsi="Times New Roman"/>
        </w:rPr>
        <w:t xml:space="preserve">Bilješka 33.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Dodatna ulaganja na građevinskim objektima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17.606,25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nisu evidentirani rashodi po osnovi dodatnih ulaganja na građevinskim objektima.</w:t>
      </w:r>
    </w:p>
    <w:p/>
    <w:p>
      <w:pPr>
        <w:jc w:val="center"/>
        <w:pStyle w:val="Normal"/>
        <w:spacing w:line="240" w:lineRule="auto"/>
        <w:keepNext/>
      </w:pPr>
      <w:r>
        <w:rPr>
          <w:sz w:val="28"/>
          <w:rFonts w:ascii="Times New Roman" w:hAnsi="Times New Roman"/>
        </w:rPr>
        <w:t xml:space="preserve">Bilješka 34.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Primljeni krediti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190.889,33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jedinica lokalne samouprave koristi dopušteno prekoračenje po žiro računu (tzv. dozvoljeni minus), koje se sukladno proračunskom računovodstvu evidentira kao primljeni kratkoročni kredit od tuzemnih kreditnih institucija izvan javnog sektora.</w:t>
      </w:r>
    </w:p>
    <w:p>
      <w:r>
        <w:t xml:space="preserve">Dopušteno prekoračenje koristi se isključivo kao instrument upravljanja likvidnošću radi osiguranja redovnog podmirivanja dospjelih obveza.</w:t>
      </w:r>
    </w:p>
    <w:p/>
    <w:p>
      <w:pPr>
        <w:jc w:val="center"/>
        <w:pStyle w:val="Normal"/>
        <w:spacing w:line="240" w:lineRule="auto"/>
        <w:keepNext/>
      </w:pPr>
      <w:r>
        <w:rPr>
          <w:sz w:val="28"/>
          <w:rFonts w:ascii="Times New Roman" w:hAnsi="Times New Roman"/>
        </w:rPr>
        <w:t xml:space="preserve">Bilješka 35.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kredita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261.931,95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evidentirana je otplata glavnice primljenih kredita od tuzemnih kreditnih institucija izvan javnog sektora, pri čemu se dio transakcija odnosi na korištenje dopuštenog prekoračenja po žiro računu (tzv. minus po računu).</w:t>
      </w:r>
    </w:p>
    <w:p>
      <w:r>
        <w:t xml:space="preserve">Dopušteno prekoračenje predstavlja kratkoročni oblik zaduženja koji se koristi u svrhu održavanja likvidnosti, a njegova promjena (povlačenje i zatvaranje) u poslovnim knjigama se, sukladno pravilima proračunskog računovodstva, evidentira kao otplata kratkoročnog kredita.</w:t>
      </w:r>
    </w:p>
    <w:p/>
    <w:p>
      <w:pPr>
        <w:jc w:val="center"/>
        <w:pStyle w:val="Normal"/>
        <w:spacing w:line="240" w:lineRule="auto"/>
        <w:keepNext/>
      </w:pPr>
      <w:r>
        <w:rPr>
          <w:sz w:val="28"/>
          <w:rFonts w:ascii="Times New Roman" w:hAnsi="Times New Roman"/>
        </w:rPr>
        <w:t xml:space="preserve">Bilješka 36.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novčanih sredstava na početku izvještajnog razdoblja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11P</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748.759,83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4.371,21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0,6</w:t>
            </w:r>
          </w:p>
        </w:tc>
      </w:tr>
    </w:tbl>
    <w:p>
      <w:pPr>
        <w:spacing w:before="0" w:after="0"/>
      </w:pPr>
    </w:p>
    <w:p>
      <w:r>
        <w:t xml:space="preserve">Manje stanje novčanih sredstava na početku razdoblja rezultat je korištenja dopuštenog prekoračenja po računu kao instrumenta upravljanja likvidnošću, pri čemu se negativan saldo evidentira kroz obveze, a ne kroz stanje novčanih sredstava.</w:t>
      </w:r>
      <w:r>
        <w:br/>
      </w:r>
      <w:r>
        <w:t xml:space="preserve"> </w:t>
      </w:r>
      <w:r>
        <w:br/>
      </w:r>
      <w:r>
        <w:t xml:space="preserve"> </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37.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554.114,56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Stanje dospjelih obveza na dan 31. ožujka 2026. godine iznosi 554.114,56 EUR.</w:t>
      </w:r>
    </w:p>
    <w:p>
      <w:r>
        <w:t xml:space="preserve">Dospjele obveze odnose se na obveze za rashode poslovanja, nabavu nefinancijske imovine te obveze za financijske izdatke koje nisu podmirene u ugovorenim rokovima.</w:t>
      </w:r>
    </w:p>
    <w:p>
      <w:r>
        <w:t xml:space="preserve">Iskazano stanje dospjelih obveza proizlazi iz dinamike izvršenja proračuna, pri čemu dio obveza dospijeva na naplatu prije realizacije planiranih prihoda, kao i zbog preuzetih obveza za realizaciju projekata i redovno poslovanje.</w:t>
      </w:r>
    </w:p>
    <w:p>
      <w:r>
        <w:t xml:space="preserve">Jedinica lokalne samouprave poduzima mjere za pravodobno podmirenje obveza u skladu s raspoloživim sredstvima i planiranom dinamikom priljeva prihoda.</w:t>
      </w:r>
    </w:p>
    <w:p/>
    <w:p>
      <w:pPr>
        <w:jc w:val="center"/>
        <w:pStyle w:val="Normal"/>
        <w:spacing w:line="240" w:lineRule="auto"/>
        <w:keepNext/>
      </w:pPr>
      <w:r>
        <w:rPr>
          <w:sz w:val="28"/>
          <w:rFonts w:ascii="Times New Roman" w:hAnsi="Times New Roman"/>
        </w:rPr>
        <w:t xml:space="preserve">Bilješka 38.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predujmove, depozite, jamčevne pologe i tuđe prihode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335.494,04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evidentirano je stanje na kontu obveza za predujmove, depozite, jamčevne pologe i tuđe prihode, pri čemu se najveći dio odnosi na uplaćene jamčevine po javnom natječaju za zakup poljoprivrednog zemljišta u vlasništvu Republike Hrvatske, koji do kraja izvještajnog razdoblja još nije okončan.</w:t>
      </w:r>
    </w:p>
    <w:p>
      <w:r>
        <w:t xml:space="preserve">U izvještajnom razdoblju evidentirano je stanje na kontu 275 – obveze za EU predujmove, koje se odnosi na provedbu projekta „Zaželi“.</w:t>
      </w:r>
    </w:p>
    <w:p>
      <w:r>
        <w:t xml:space="preserve">Sukladno Pravilniku o proračunskom računovodstvu, konto 275 koristi se za evidentiranje primljenih sredstava (predujmova) iz EU fondova koja još nisu utrošena za namjenske rashode.</w:t>
      </w:r>
    </w:p>
    <w:p>
      <w:r>
        <w:t xml:space="preserve"> </w:t>
      </w:r>
    </w:p>
    <w:p/>
    <w:p>
      <w:pPr>
        <w:jc w:val="center"/>
        <w:pStyle w:val="Normal"/>
        <w:spacing w:line="240" w:lineRule="auto"/>
        <w:keepNext/>
      </w:pPr>
      <w:r>
        <w:rPr>
          <w:sz w:val="28"/>
          <w:rFonts w:ascii="Times New Roman" w:hAnsi="Times New Roman"/>
        </w:rPr>
        <w:t xml:space="preserve">Bilješka 39.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nedospjelih obveza na kraju izvještajnog razdoblja (šifre V010 + ND23 + ND24 + 'ND dio 25,26' + ND27)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78.577,89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Stanje nedospjelih obveza na kraju izvještajnog razdoblja odnosi se na obveze koje su nastale u izvještajnom razdoblju, ali njihov rok dospijeća plaćanja nastupa u narednom razdoblju. Stanje nedospjelih obveza na kraju izvještajnog razdoblja predstavlja redovne obveze nastale u okviru poslovanja općine koje će biti podmirene u narednom razdoblju, sukladno dospijeću i planiranoj dinamici izvršenja proračuna.</w:t>
      </w:r>
    </w:p>
    <w:p/>
    <w:p>
      <w:pPr>
        <w:jc w:val="center"/>
        <w:pStyle w:val="Normal"/>
        <w:spacing w:line="240" w:lineRule="auto"/>
        <w:keepNext/>
      </w:pPr>
      <w:r>
        <w:rPr>
          <w:sz w:val="28"/>
          <w:rFonts w:ascii="Times New Roman" w:hAnsi="Times New Roman"/>
        </w:rPr>
        <w:t xml:space="preserve">Bilješka 40.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predujmove, depozite, jamčevne pologe i tuđe prihode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ND27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25.216,56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izvještajnom razdoblju evidentirano je stanje na kontu 27411, koje se odnosi na poslovanje proračunskog korisnika – dječjeg vrtića, koji je od 01.01.2026. godine uključen u sustav lokalne riznice. Konto 27411 koristi se za evidentiranje unutarnjih obveza i odnosa između proračuna i proračunskog korisnika, koji nastaju zbog centraliziranog načina poslovanja.</w:t>
      </w:r>
    </w:p>
    <w:p/>
    <w:p>
      <w:pPr>
        <w:jc w:val="center"/>
        <w:pStyle w:val="Normal"/>
        <w:spacing w:line="240" w:lineRule="auto"/>
        <w:keepNext/>
      </w:pPr>
      <w:r>
        <w:rPr>
          <w:sz w:val="28"/>
          <w:rFonts w:ascii="Times New Roman" w:hAnsi="Times New Roman"/>
        </w:rPr>
        <w:t xml:space="preserve">Bilješka 41.</w:t>
      </w:r>
    </w:p>
    <w:p>
      <w:pPr>
        <w:jc w:val="both"/>
        <w:pStyle w:val="Normal"/>
        <w:spacing w:line="240" w:lineRule="auto"/>
      </w:pPr>
      <w:r>
        <w:rPr>
          <w:b/>
          <w:sz w:val="24"/>
          <w:rFonts w:ascii="Times New Roman" w:hAnsi="Times New Roman"/>
        </w:rPr>
        <w:t xml:space="preserve">EU izvještaj</w:t>
      </w:r>
    </w:p>
    <w:p>
      <w:r>
        <w:t xml:space="preserve">U izvještajnom razdoblju ostvareni su prihodi po osnovi provedbe projekta „Zaželi“, koji se financira iz sredstava Europskog socijalnog fonda plus.</w:t>
      </w:r>
    </w:p>
    <w:p>
      <w:r>
        <w:t xml:space="preserve">Projekt „Zaželi“ usmjeren je na pružanje potpore i podrške u svakodnevnom životu starijim osobama i osobama s invaliditetom, s ciljem povećanja socijalne uključenosti i prevencije institucionalizacije .</w:t>
      </w:r>
    </w:p>
    <w:p>
      <w:r>
        <w:t xml:space="preserve">Ostvareni prihodi odnose se na:bespovratna sredstva Europske unije 85%, redstva državnog proračuna 15%. </w:t>
      </w:r>
    </w:p>
    <w:p>
      <w:r>
        <w:t xml:space="preserve">Važno je istaknuti da se kod projekta „Zaželi“ primjenjuje model refundacijskog financiranja, pri čemu:</w:t>
      </w:r>
    </w:p>
    <w:p>
      <w:r>
        <w:t xml:space="preserve">se rashodi projekta podmiruju unaprijed iz proračuna JLS</w:t>
      </w:r>
      <w:r>
        <w:br/>
      </w:r>
      <w:r>
        <w:t xml:space="preserve">dok se prihodi (EU sredstva) priznaju po odobrenju zahtjeva za nadoknadom sredstava.</w:t>
      </w:r>
    </w:p>
    <w:p>
      <w:r>
        <w:t xml:space="preserve">U izvještajnom razdoblju evidentirani su rashodi vezani uz provedbu projekta „Zaželi“, koji se financira iz sredstava Europskog socijalnog fonda plus. Struktura rashoda projekta obuhvaća:</w:t>
      </w:r>
      <w:r>
        <w:br/>
      </w:r>
      <w:r>
        <w:t xml:space="preserve">rashode za zaposlene</w:t>
      </w:r>
      <w:r>
        <w:br/>
      </w:r>
      <w:r>
        <w:t xml:space="preserve">(plaće, doprinosi i ostala materijalna prava zaposlenih na projektu –  projektno osoblje)</w:t>
      </w:r>
      <w:r>
        <w:br/>
      </w:r>
      <w:r>
        <w:t xml:space="preserve">materijalne rashode</w:t>
      </w:r>
      <w:r>
        <w:br/>
      </w:r>
      <w:r>
        <w:t xml:space="preserve">(troškovi prijevoza)</w:t>
      </w:r>
      <w:r>
        <w:br/>
      </w:r>
      <w:r>
        <w:t xml:space="preserve">rashode za nabavu roba i usluga za krajnje korisnike</w:t>
      </w:r>
      <w:r>
        <w:br/>
      </w:r>
      <w:r>
        <w:t xml:space="preserve">(higijenski paketi, kućanske potrepštine i druga pomoć korisnicima)</w:t>
      </w:r>
    </w:p>
    <w:p>
      <w:r>
        <w:t xml:space="preserve"> </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dc00b5029bf9477e" /></Relationships>
</file>